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sz w:val="36"/>
          <w:szCs w:val="36"/>
        </w:rPr>
      </w:pPr>
      <w:r>
        <w:rPr>
          <w:rFonts w:hint="eastAsia" w:ascii="微软雅黑" w:hAnsi="微软雅黑" w:eastAsia="微软雅黑" w:cs="微软雅黑"/>
          <w:sz w:val="36"/>
          <w:szCs w:val="36"/>
        </w:rPr>
        <w:t>运城职业技术学院</w:t>
      </w:r>
    </w:p>
    <w:p>
      <w:pPr>
        <w:jc w:val="center"/>
        <w:rPr>
          <w:rFonts w:ascii="微软雅黑" w:hAnsi="微软雅黑" w:eastAsia="微软雅黑" w:cs="微软雅黑"/>
          <w:sz w:val="36"/>
          <w:szCs w:val="36"/>
        </w:rPr>
      </w:pPr>
      <w:r>
        <w:rPr>
          <w:rFonts w:hint="eastAsia" w:ascii="微软雅黑" w:hAnsi="微软雅黑" w:eastAsia="微软雅黑" w:cs="微软雅黑"/>
          <w:sz w:val="36"/>
          <w:szCs w:val="36"/>
          <w:u w:val="single"/>
        </w:rPr>
        <w:t xml:space="preserve"> </w:t>
      </w:r>
      <w:r>
        <w:rPr>
          <w:rFonts w:hint="eastAsia" w:ascii="微软雅黑" w:hAnsi="微软雅黑" w:eastAsia="微软雅黑" w:cs="微软雅黑"/>
          <w:sz w:val="36"/>
          <w:szCs w:val="36"/>
          <w:u w:val="single"/>
          <w:lang w:eastAsia="zh-CN"/>
        </w:rPr>
        <w:t>护理</w:t>
      </w:r>
      <w:r>
        <w:rPr>
          <w:rFonts w:hint="eastAsia" w:ascii="微软雅黑" w:hAnsi="微软雅黑" w:eastAsia="微软雅黑" w:cs="微软雅黑"/>
          <w:sz w:val="36"/>
          <w:szCs w:val="36"/>
          <w:u w:val="single"/>
        </w:rPr>
        <w:t xml:space="preserve"> </w:t>
      </w:r>
      <w:r>
        <w:rPr>
          <w:rFonts w:hint="eastAsia" w:ascii="微软雅黑" w:hAnsi="微软雅黑" w:eastAsia="微软雅黑" w:cs="微软雅黑"/>
          <w:sz w:val="36"/>
          <w:szCs w:val="36"/>
        </w:rPr>
        <w:t>专业设置专家论证意见表</w:t>
      </w:r>
    </w:p>
    <w:tbl>
      <w:tblPr>
        <w:tblStyle w:val="8"/>
        <w:tblpPr w:leftFromText="180" w:rightFromText="180" w:vertAnchor="text" w:horzAnchor="page" w:tblpX="1457" w:tblpY="390"/>
        <w:tblOverlap w:val="never"/>
        <w:tblW w:w="9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056"/>
        <w:gridCol w:w="2160"/>
        <w:gridCol w:w="1989"/>
        <w:gridCol w:w="1361"/>
        <w:gridCol w:w="2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7" w:hRule="atLeast"/>
        </w:trPr>
        <w:tc>
          <w:tcPr>
            <w:tcW w:w="9343" w:type="dxa"/>
            <w:gridSpan w:val="6"/>
          </w:tcPr>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201</w:t>
            </w:r>
            <w:r>
              <w:rPr>
                <w:rFonts w:hint="eastAsia" w:ascii="宋体" w:hAnsi="宋体" w:eastAsia="宋体" w:cs="宋体"/>
                <w:kern w:val="0"/>
                <w:sz w:val="28"/>
                <w:szCs w:val="28"/>
                <w:lang w:val="en-US" w:eastAsia="zh-CN"/>
              </w:rPr>
              <w:t>7</w:t>
            </w:r>
            <w:r>
              <w:rPr>
                <w:rFonts w:hint="eastAsia" w:ascii="宋体" w:hAnsi="宋体" w:eastAsia="宋体" w:cs="宋体"/>
                <w:kern w:val="0"/>
                <w:sz w:val="28"/>
                <w:szCs w:val="28"/>
              </w:rPr>
              <w:t>年</w:t>
            </w:r>
            <w:r>
              <w:rPr>
                <w:rFonts w:hint="eastAsia" w:ascii="宋体" w:hAnsi="宋体" w:eastAsia="宋体" w:cs="宋体"/>
                <w:kern w:val="0"/>
                <w:sz w:val="28"/>
                <w:szCs w:val="28"/>
                <w:lang w:val="en-US" w:eastAsia="zh-CN"/>
              </w:rPr>
              <w:t>6</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5</w:t>
            </w:r>
            <w:r>
              <w:rPr>
                <w:rFonts w:hint="eastAsia" w:ascii="宋体" w:hAnsi="宋体" w:eastAsia="宋体" w:cs="宋体"/>
                <w:kern w:val="0"/>
                <w:sz w:val="28"/>
                <w:szCs w:val="28"/>
              </w:rPr>
              <w:t>日，运城职业技术学院《</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》专业建设指导委员会召开《运城职业技术学院</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专业人才培养方案》（简称培养方案）专题论证会议，经过专指委全体成员的认真讨论，得出如下论证意见：</w:t>
            </w:r>
          </w:p>
          <w:p>
            <w:pPr>
              <w:widowControl/>
              <w:numPr>
                <w:ilvl w:val="0"/>
                <w:numId w:val="0"/>
              </w:numPr>
              <w:tabs>
                <w:tab w:val="left" w:pos="630"/>
              </w:tabs>
              <w:wordWrap w:val="0"/>
              <w:spacing w:line="360" w:lineRule="auto"/>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一、“</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”的</w:t>
            </w:r>
            <w:r>
              <w:rPr>
                <w:rFonts w:hint="eastAsia" w:ascii="宋体" w:hAnsi="宋体" w:eastAsia="宋体" w:cs="宋体"/>
                <w:kern w:val="0"/>
                <w:sz w:val="28"/>
                <w:szCs w:val="28"/>
              </w:rPr>
              <w:t>制定符合</w:t>
            </w:r>
            <w:r>
              <w:rPr>
                <w:rFonts w:hint="eastAsia" w:ascii="宋体" w:hAnsi="宋体" w:eastAsia="宋体" w:cs="宋体"/>
                <w:kern w:val="0"/>
                <w:sz w:val="28"/>
                <w:szCs w:val="28"/>
                <w:lang w:eastAsia="zh-CN"/>
              </w:rPr>
              <w:t>国家《健康中国</w:t>
            </w:r>
            <w:r>
              <w:rPr>
                <w:rFonts w:hint="eastAsia" w:ascii="宋体" w:hAnsi="宋体" w:eastAsia="宋体" w:cs="宋体"/>
                <w:kern w:val="0"/>
                <w:sz w:val="28"/>
                <w:szCs w:val="28"/>
                <w:lang w:val="en-US" w:eastAsia="zh-CN"/>
              </w:rPr>
              <w:t>2030规划纲要</w:t>
            </w:r>
            <w:r>
              <w:rPr>
                <w:rFonts w:hint="eastAsia" w:ascii="宋体" w:hAnsi="宋体" w:eastAsia="宋体" w:cs="宋体"/>
                <w:kern w:val="0"/>
                <w:sz w:val="28"/>
                <w:szCs w:val="28"/>
                <w:lang w:eastAsia="zh-CN"/>
              </w:rPr>
              <w:t>》和《全国护理事业发展规划</w:t>
            </w:r>
            <w:r>
              <w:rPr>
                <w:rFonts w:hint="eastAsia" w:ascii="宋体" w:hAnsi="宋体" w:eastAsia="宋体" w:cs="宋体"/>
                <w:kern w:val="0"/>
                <w:sz w:val="28"/>
                <w:szCs w:val="28"/>
                <w:lang w:val="en-US" w:eastAsia="zh-CN"/>
              </w:rPr>
              <w:t>2016-2020</w:t>
            </w:r>
            <w:r>
              <w:rPr>
                <w:rFonts w:hint="eastAsia" w:ascii="宋体" w:hAnsi="宋体" w:eastAsia="宋体" w:cs="宋体"/>
                <w:kern w:val="0"/>
                <w:sz w:val="28"/>
                <w:szCs w:val="28"/>
                <w:lang w:eastAsia="zh-CN"/>
              </w:rPr>
              <w:t>》的政策导向；符合建设健康中国的战略需求。也说明了设置护理专业的必要性。</w:t>
            </w:r>
          </w:p>
          <w:p>
            <w:pPr>
              <w:widowControl/>
              <w:numPr>
                <w:ilvl w:val="0"/>
                <w:numId w:val="0"/>
              </w:numPr>
              <w:tabs>
                <w:tab w:val="left" w:pos="630"/>
              </w:tabs>
              <w:wordWrap w:val="0"/>
              <w:spacing w:line="360" w:lineRule="auto"/>
              <w:jc w:val="left"/>
              <w:rPr>
                <w:rFonts w:hint="eastAsia" w:asciiTheme="minorEastAsia" w:hAnsiTheme="minorEastAsia" w:cstheme="minorEastAsia"/>
                <w:color w:val="000000"/>
                <w:kern w:val="0"/>
                <w:sz w:val="28"/>
                <w:szCs w:val="28"/>
                <w:lang w:eastAsia="zh-CN" w:bidi="ar"/>
              </w:rPr>
            </w:pPr>
            <w:r>
              <w:rPr>
                <w:rFonts w:hint="eastAsia" w:ascii="宋体" w:hAnsi="宋体" w:eastAsia="宋体" w:cs="宋体"/>
                <w:kern w:val="0"/>
                <w:sz w:val="28"/>
                <w:szCs w:val="28"/>
                <w:lang w:eastAsia="zh-CN"/>
              </w:rPr>
              <w:t>二、“</w:t>
            </w:r>
            <w:r>
              <w:rPr>
                <w:rFonts w:hint="eastAsia" w:asciiTheme="minorEastAsia" w:hAnsiTheme="minorEastAsia" w:eastAsiaTheme="minorEastAsia" w:cstheme="minorEastAsia"/>
                <w:kern w:val="0"/>
                <w:sz w:val="28"/>
                <w:szCs w:val="28"/>
              </w:rPr>
              <w:t>培养方案</w:t>
            </w:r>
            <w:r>
              <w:rPr>
                <w:rFonts w:hint="eastAsia" w:asciiTheme="minorEastAsia" w:hAnsiTheme="minorEastAsia" w:eastAsiaTheme="minorEastAsia" w:cstheme="minorEastAsia"/>
                <w:kern w:val="0"/>
                <w:sz w:val="28"/>
                <w:szCs w:val="28"/>
                <w:lang w:eastAsia="zh-CN"/>
              </w:rPr>
              <w:t>”的制定，</w:t>
            </w:r>
            <w:r>
              <w:rPr>
                <w:rFonts w:hint="eastAsia" w:asciiTheme="minorEastAsia" w:hAnsiTheme="minorEastAsia" w:cstheme="minorEastAsia"/>
                <w:kern w:val="0"/>
                <w:sz w:val="28"/>
                <w:szCs w:val="28"/>
                <w:lang w:eastAsia="zh-CN"/>
              </w:rPr>
              <w:t>是</w:t>
            </w:r>
            <w:r>
              <w:rPr>
                <w:rFonts w:hint="eastAsia" w:asciiTheme="minorEastAsia" w:hAnsiTheme="minorEastAsia" w:eastAsiaTheme="minorEastAsia" w:cstheme="minorEastAsia"/>
                <w:kern w:val="0"/>
                <w:sz w:val="28"/>
                <w:szCs w:val="28"/>
                <w:lang w:eastAsia="zh-CN"/>
              </w:rPr>
              <w:t>建立在专业教师对护理人才需求</w:t>
            </w:r>
            <w:r>
              <w:rPr>
                <w:rFonts w:hint="eastAsia" w:asciiTheme="minorEastAsia" w:hAnsiTheme="minorEastAsia" w:cstheme="minorEastAsia"/>
                <w:kern w:val="0"/>
                <w:sz w:val="28"/>
                <w:szCs w:val="28"/>
                <w:lang w:eastAsia="zh-CN"/>
              </w:rPr>
              <w:t>充分</w:t>
            </w:r>
            <w:r>
              <w:rPr>
                <w:rFonts w:hint="eastAsia" w:asciiTheme="minorEastAsia" w:hAnsiTheme="minorEastAsia" w:eastAsiaTheme="minorEastAsia" w:cstheme="minorEastAsia"/>
                <w:kern w:val="0"/>
                <w:sz w:val="28"/>
                <w:szCs w:val="28"/>
                <w:lang w:eastAsia="zh-CN"/>
              </w:rPr>
              <w:t>调</w:t>
            </w:r>
            <w:r>
              <w:rPr>
                <w:rFonts w:hint="eastAsia" w:asciiTheme="minorEastAsia" w:hAnsiTheme="minorEastAsia" w:cstheme="minorEastAsia"/>
                <w:kern w:val="0"/>
                <w:sz w:val="28"/>
                <w:szCs w:val="28"/>
                <w:lang w:eastAsia="zh-CN"/>
              </w:rPr>
              <w:t>研的基础上，建立在</w:t>
            </w:r>
            <w:r>
              <w:rPr>
                <w:rFonts w:hint="eastAsia" w:asciiTheme="minorEastAsia" w:hAnsiTheme="minorEastAsia" w:eastAsiaTheme="minorEastAsia" w:cstheme="minorEastAsia"/>
                <w:color w:val="000000"/>
                <w:kern w:val="0"/>
                <w:sz w:val="28"/>
                <w:szCs w:val="28"/>
                <w:lang w:bidi="ar"/>
              </w:rPr>
              <w:t>专业</w:t>
            </w:r>
            <w:r>
              <w:rPr>
                <w:rFonts w:hint="eastAsia" w:asciiTheme="minorEastAsia" w:hAnsiTheme="minorEastAsia" w:cstheme="minorEastAsia"/>
                <w:color w:val="000000"/>
                <w:kern w:val="0"/>
                <w:sz w:val="28"/>
                <w:szCs w:val="28"/>
                <w:lang w:eastAsia="zh-CN" w:bidi="ar"/>
              </w:rPr>
              <w:t>教师对国家政策导向的深度学习、对护理行业发展的洞察、对护理技术动熟悉熟练的程度以及对护理专业未来发展趋势的预测能力等方面，验证了专业教师能</w:t>
            </w:r>
            <w:r>
              <w:rPr>
                <w:rFonts w:hint="eastAsia" w:asciiTheme="minorEastAsia" w:hAnsiTheme="minorEastAsia" w:eastAsiaTheme="minorEastAsia" w:cstheme="minorEastAsia"/>
                <w:color w:val="000000"/>
                <w:kern w:val="0"/>
                <w:sz w:val="28"/>
                <w:szCs w:val="28"/>
                <w:lang w:bidi="ar"/>
              </w:rPr>
              <w:t>从宏观上把握护理专业对应行业的人才结构现状、人才需求量、岗位设置与人才需求方向、岗位对从业人员能力要求等。</w:t>
            </w:r>
            <w:r>
              <w:rPr>
                <w:rFonts w:hint="eastAsia" w:asciiTheme="minorEastAsia" w:hAnsiTheme="minorEastAsia" w:cstheme="minorEastAsia"/>
                <w:color w:val="000000"/>
                <w:kern w:val="0"/>
                <w:sz w:val="28"/>
                <w:szCs w:val="28"/>
                <w:lang w:eastAsia="zh-CN" w:bidi="ar"/>
              </w:rPr>
              <w:t>通过充分的专业人才需求调研，专业教师</w:t>
            </w:r>
            <w:r>
              <w:rPr>
                <w:rFonts w:hint="eastAsia" w:ascii="宋体" w:hAnsi="宋体" w:eastAsia="宋体" w:cs="宋体"/>
                <w:kern w:val="0"/>
                <w:sz w:val="28"/>
                <w:szCs w:val="28"/>
                <w:lang w:eastAsia="zh-CN"/>
              </w:rPr>
              <w:t>有明确的人才培养方向和专业定位。</w:t>
            </w:r>
            <w:r>
              <w:rPr>
                <w:rFonts w:hint="eastAsia" w:asciiTheme="minorEastAsia" w:hAnsiTheme="minorEastAsia" w:eastAsiaTheme="minorEastAsia" w:cstheme="minorEastAsia"/>
                <w:color w:val="000000"/>
                <w:kern w:val="0"/>
                <w:sz w:val="28"/>
                <w:szCs w:val="28"/>
                <w:lang w:bidi="ar"/>
              </w:rPr>
              <w:t>为</w:t>
            </w:r>
            <w:r>
              <w:rPr>
                <w:rFonts w:hint="eastAsia" w:asciiTheme="minorEastAsia" w:hAnsiTheme="minorEastAsia" w:cstheme="minorEastAsia"/>
                <w:color w:val="000000"/>
                <w:kern w:val="0"/>
                <w:sz w:val="28"/>
                <w:szCs w:val="28"/>
                <w:lang w:eastAsia="zh-CN" w:bidi="ar"/>
              </w:rPr>
              <w:t>课程体系的设计与建设奠定了基础。</w:t>
            </w:r>
          </w:p>
          <w:p>
            <w:pPr>
              <w:widowControl/>
              <w:numPr>
                <w:ilvl w:val="0"/>
                <w:numId w:val="0"/>
              </w:numPr>
              <w:spacing w:line="360" w:lineRule="auto"/>
              <w:rPr>
                <w:rFonts w:hint="eastAsia" w:ascii="宋体" w:hAnsi="宋体" w:eastAsia="宋体" w:cs="宋体"/>
                <w:kern w:val="0"/>
                <w:sz w:val="28"/>
                <w:szCs w:val="28"/>
              </w:rPr>
            </w:pPr>
            <w:r>
              <w:rPr>
                <w:rFonts w:hint="eastAsia" w:asciiTheme="minorEastAsia" w:hAnsiTheme="minorEastAsia" w:cstheme="minorEastAsia"/>
                <w:color w:val="000000"/>
                <w:kern w:val="0"/>
                <w:sz w:val="28"/>
                <w:szCs w:val="28"/>
                <w:lang w:eastAsia="zh-CN" w:bidi="ar"/>
              </w:rPr>
              <w:t>三、</w:t>
            </w:r>
            <w:r>
              <w:rPr>
                <w:rFonts w:hint="eastAsia" w:ascii="宋体" w:hAnsi="宋体" w:eastAsia="宋体" w:cs="宋体"/>
                <w:kern w:val="0"/>
                <w:sz w:val="28"/>
                <w:szCs w:val="28"/>
                <w:lang w:eastAsia="zh-CN"/>
              </w:rPr>
              <w:t>“</w:t>
            </w:r>
            <w:r>
              <w:rPr>
                <w:rFonts w:hint="eastAsia" w:asciiTheme="minorEastAsia" w:hAnsiTheme="minorEastAsia" w:eastAsiaTheme="minorEastAsia" w:cstheme="minorEastAsia"/>
                <w:kern w:val="0"/>
                <w:sz w:val="28"/>
                <w:szCs w:val="28"/>
              </w:rPr>
              <w:t>培养方案</w:t>
            </w:r>
            <w:r>
              <w:rPr>
                <w:rFonts w:hint="eastAsia" w:asciiTheme="minorEastAsia" w:hAnsiTheme="minorEastAsia" w:eastAsiaTheme="minorEastAsia" w:cstheme="minorEastAsia"/>
                <w:kern w:val="0"/>
                <w:sz w:val="28"/>
                <w:szCs w:val="28"/>
                <w:lang w:eastAsia="zh-CN"/>
              </w:rPr>
              <w:t>”</w:t>
            </w:r>
            <w:r>
              <w:rPr>
                <w:rFonts w:hint="eastAsia" w:asciiTheme="minorEastAsia" w:hAnsiTheme="minorEastAsia" w:cstheme="minorEastAsia"/>
                <w:kern w:val="0"/>
                <w:sz w:val="28"/>
                <w:szCs w:val="28"/>
                <w:lang w:eastAsia="zh-CN"/>
              </w:rPr>
              <w:t>符合</w:t>
            </w:r>
            <w:r>
              <w:rPr>
                <w:rFonts w:hint="eastAsia" w:ascii="宋体" w:hAnsi="宋体" w:eastAsia="宋体" w:cs="宋体"/>
                <w:kern w:val="0"/>
                <w:sz w:val="28"/>
                <w:szCs w:val="28"/>
              </w:rPr>
              <w:t>高职教育教学要求和</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类高职人才培养目标要求，</w:t>
            </w:r>
            <w:r>
              <w:rPr>
                <w:rFonts w:hint="eastAsia" w:ascii="宋体" w:hAnsi="宋体" w:eastAsia="宋体" w:cs="宋体"/>
                <w:kern w:val="0"/>
                <w:sz w:val="28"/>
                <w:szCs w:val="28"/>
                <w:lang w:eastAsia="zh-CN"/>
              </w:rPr>
              <w:t>确立了当今</w:t>
            </w:r>
            <w:r>
              <w:rPr>
                <w:rFonts w:hint="eastAsia" w:ascii="宋体" w:hAnsi="宋体" w:eastAsia="宋体" w:cs="宋体"/>
                <w:kern w:val="0"/>
                <w:sz w:val="28"/>
                <w:szCs w:val="28"/>
              </w:rPr>
              <w:t>护理专业教育既要培养</w:t>
            </w:r>
            <w:r>
              <w:rPr>
                <w:rFonts w:hint="eastAsia" w:ascii="宋体" w:hAnsi="宋体" w:eastAsia="宋体" w:cs="宋体"/>
                <w:kern w:val="0"/>
                <w:sz w:val="28"/>
                <w:szCs w:val="28"/>
                <w:lang w:eastAsia="zh-CN"/>
              </w:rPr>
              <w:t>具有</w:t>
            </w:r>
            <w:r>
              <w:rPr>
                <w:rFonts w:hint="eastAsia" w:ascii="宋体" w:hAnsi="宋体" w:eastAsia="宋体" w:cs="宋体"/>
                <w:kern w:val="0"/>
                <w:sz w:val="28"/>
                <w:szCs w:val="28"/>
              </w:rPr>
              <w:t>一定的通用</w:t>
            </w:r>
            <w:r>
              <w:rPr>
                <w:rFonts w:hint="eastAsia" w:ascii="宋体" w:hAnsi="宋体" w:eastAsia="宋体" w:cs="宋体"/>
                <w:kern w:val="0"/>
                <w:sz w:val="28"/>
                <w:szCs w:val="28"/>
                <w:lang w:eastAsia="zh-CN"/>
              </w:rPr>
              <w:t>护理技术的护士</w:t>
            </w:r>
            <w:r>
              <w:rPr>
                <w:rFonts w:hint="eastAsia" w:ascii="宋体" w:hAnsi="宋体" w:eastAsia="宋体" w:cs="宋体"/>
                <w:kern w:val="0"/>
                <w:sz w:val="28"/>
                <w:szCs w:val="28"/>
              </w:rPr>
              <w:t>,也要培养有</w:t>
            </w:r>
            <w:r>
              <w:rPr>
                <w:rFonts w:hint="eastAsia" w:ascii="宋体" w:hAnsi="宋体" w:eastAsia="宋体" w:cs="宋体"/>
                <w:kern w:val="0"/>
                <w:sz w:val="28"/>
                <w:szCs w:val="28"/>
                <w:lang w:eastAsia="zh-CN"/>
              </w:rPr>
              <w:t>一定</w:t>
            </w:r>
            <w:r>
              <w:rPr>
                <w:rFonts w:hint="eastAsia" w:ascii="宋体" w:hAnsi="宋体" w:eastAsia="宋体" w:cs="宋体"/>
                <w:kern w:val="0"/>
                <w:sz w:val="28"/>
                <w:szCs w:val="28"/>
              </w:rPr>
              <w:t>专业方向</w:t>
            </w:r>
            <w:r>
              <w:rPr>
                <w:rFonts w:hint="eastAsia" w:ascii="宋体" w:hAnsi="宋体" w:eastAsia="宋体" w:cs="宋体"/>
                <w:kern w:val="0"/>
                <w:sz w:val="28"/>
                <w:szCs w:val="28"/>
                <w:lang w:eastAsia="zh-CN"/>
              </w:rPr>
              <w:t>的</w:t>
            </w:r>
            <w:r>
              <w:rPr>
                <w:rFonts w:hint="eastAsia" w:ascii="宋体" w:hAnsi="宋体" w:eastAsia="宋体" w:cs="宋体"/>
                <w:kern w:val="0"/>
                <w:sz w:val="28"/>
                <w:szCs w:val="28"/>
              </w:rPr>
              <w:t>护士</w:t>
            </w:r>
            <w:r>
              <w:rPr>
                <w:rFonts w:hint="eastAsia" w:ascii="宋体" w:hAnsi="宋体" w:eastAsia="宋体" w:cs="宋体"/>
                <w:kern w:val="0"/>
                <w:sz w:val="28"/>
                <w:szCs w:val="28"/>
                <w:lang w:eastAsia="zh-CN"/>
              </w:rPr>
              <w:t>的培养目标，在课程体系中把社区护理、老年护理、康复护理设立“方向课程”，并适当增加了方向课程理实一体的教学学时，是“与时俱进”的举措，</w:t>
            </w:r>
            <w:r>
              <w:rPr>
                <w:rFonts w:hint="eastAsia" w:ascii="宋体" w:hAnsi="宋体" w:eastAsia="宋体" w:cs="宋体"/>
                <w:kern w:val="0"/>
                <w:sz w:val="28"/>
                <w:szCs w:val="28"/>
              </w:rPr>
              <w:t>具有运职院自己的特色。</w:t>
            </w:r>
          </w:p>
          <w:p>
            <w:pPr>
              <w:widowControl/>
              <w:spacing w:line="360" w:lineRule="auto"/>
              <w:rPr>
                <w:rFonts w:hint="eastAsia" w:ascii="宋体" w:hAnsi="宋体" w:eastAsia="宋体" w:cs="宋体"/>
                <w:kern w:val="0"/>
                <w:sz w:val="28"/>
                <w:szCs w:val="28"/>
              </w:rPr>
            </w:pPr>
            <w:r>
              <w:rPr>
                <w:rFonts w:hint="eastAsia" w:ascii="宋体" w:hAnsi="宋体" w:eastAsia="宋体" w:cs="宋体"/>
                <w:kern w:val="0"/>
                <w:sz w:val="28"/>
                <w:szCs w:val="28"/>
                <w:lang w:eastAsia="zh-CN"/>
              </w:rPr>
              <w:t>四、“</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的制定，经过了深入的社会调研和行业调查，在认真分析调研全国</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人才需求和</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行业快速发展形势的基础上，</w:t>
            </w:r>
            <w:r>
              <w:rPr>
                <w:rFonts w:hint="eastAsia" w:ascii="宋体" w:hAnsi="宋体" w:eastAsia="宋体" w:cs="宋体"/>
                <w:kern w:val="0"/>
                <w:sz w:val="28"/>
                <w:szCs w:val="28"/>
                <w:lang w:eastAsia="zh-CN"/>
              </w:rPr>
              <w:t>响应国家</w:t>
            </w:r>
            <w:r>
              <w:rPr>
                <w:rFonts w:hint="eastAsia" w:ascii="宋体" w:hAnsi="宋体" w:eastAsia="宋体" w:cs="宋体"/>
                <w:kern w:val="0"/>
                <w:sz w:val="28"/>
                <w:szCs w:val="28"/>
              </w:rPr>
              <w:t>《“健康中国2030”规划纲要》</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坚持以基层为重点，立足全人群和全生命周期两个着力点</w:t>
            </w:r>
            <w:r>
              <w:rPr>
                <w:rFonts w:hint="eastAsia" w:ascii="宋体" w:hAnsi="宋体" w:eastAsia="宋体" w:cs="宋体"/>
                <w:kern w:val="0"/>
                <w:sz w:val="28"/>
                <w:szCs w:val="28"/>
                <w:lang w:eastAsia="zh-CN"/>
              </w:rPr>
              <w:t>为出发点，在确立了培养目标、培养方向、建立了科学合理的课程体系的同时，建立了由在全国职业教育行业享有盛誉的专业领军人物罗志教授</w:t>
            </w:r>
            <w:r>
              <w:rPr>
                <w:rFonts w:hint="eastAsia" w:ascii="宋体" w:hAnsi="宋体" w:eastAsia="宋体" w:cs="宋体"/>
                <w:kern w:val="0"/>
                <w:sz w:val="28"/>
                <w:szCs w:val="28"/>
              </w:rPr>
              <w:t>带领的</w:t>
            </w:r>
            <w:r>
              <w:rPr>
                <w:rFonts w:hint="eastAsia" w:ascii="宋体" w:hAnsi="宋体" w:eastAsia="宋体" w:cs="宋体"/>
                <w:kern w:val="0"/>
                <w:sz w:val="28"/>
                <w:szCs w:val="28"/>
                <w:lang w:eastAsia="zh-CN"/>
              </w:rPr>
              <w:t>专兼职教师</w:t>
            </w:r>
            <w:r>
              <w:rPr>
                <w:rFonts w:hint="eastAsia" w:ascii="宋体" w:hAnsi="宋体" w:eastAsia="宋体" w:cs="宋体"/>
                <w:kern w:val="0"/>
                <w:sz w:val="28"/>
                <w:szCs w:val="28"/>
              </w:rPr>
              <w:t>团队</w:t>
            </w:r>
            <w:r>
              <w:rPr>
                <w:rFonts w:hint="eastAsia" w:ascii="宋体" w:hAnsi="宋体" w:eastAsia="宋体" w:cs="宋体"/>
                <w:kern w:val="0"/>
                <w:sz w:val="28"/>
                <w:szCs w:val="28"/>
                <w:lang w:eastAsia="zh-CN"/>
              </w:rPr>
              <w:t>，有丰富的校内外实训实习基地及校校合作、校企合作、校院（医院）合作资源，对</w:t>
            </w:r>
            <w:r>
              <w:rPr>
                <w:rFonts w:hint="eastAsia" w:ascii="宋体" w:hAnsi="宋体" w:eastAsia="宋体" w:cs="宋体"/>
                <w:kern w:val="0"/>
                <w:sz w:val="28"/>
                <w:szCs w:val="28"/>
              </w:rPr>
              <w:t>创办特色品牌专业</w:t>
            </w:r>
            <w:r>
              <w:rPr>
                <w:rFonts w:hint="eastAsia" w:ascii="宋体" w:hAnsi="宋体" w:eastAsia="宋体" w:cs="宋体"/>
                <w:kern w:val="0"/>
                <w:sz w:val="28"/>
                <w:szCs w:val="28"/>
                <w:lang w:eastAsia="zh-CN"/>
              </w:rPr>
              <w:t>具有了坚实的基础。</w:t>
            </w:r>
            <w:r>
              <w:rPr>
                <w:rFonts w:hint="eastAsia" w:ascii="宋体" w:hAnsi="宋体" w:eastAsia="宋体" w:cs="宋体"/>
                <w:color w:val="auto"/>
                <w:kern w:val="0"/>
                <w:sz w:val="28"/>
                <w:szCs w:val="28"/>
              </w:rPr>
              <w:t>运职院</w:t>
            </w:r>
            <w:r>
              <w:rPr>
                <w:rFonts w:hint="eastAsia" w:ascii="宋体" w:hAnsi="宋体" w:eastAsia="宋体" w:cs="宋体"/>
                <w:color w:val="auto"/>
                <w:kern w:val="0"/>
                <w:sz w:val="28"/>
                <w:szCs w:val="28"/>
                <w:lang w:val="en-US" w:eastAsia="zh-CN"/>
              </w:rPr>
              <w:t>11年的发展，有良好的社会信誉度和美誉度。校内有“点、线、面、体”，“三级教学质量保障”体系与机制机制等，加上宏源集团充足的资金支持，运城职业技术学院</w:t>
            </w:r>
            <w:r>
              <w:rPr>
                <w:rFonts w:hint="eastAsia" w:ascii="宋体" w:hAnsi="宋体" w:eastAsia="宋体" w:cs="宋体"/>
                <w:color w:val="auto"/>
                <w:kern w:val="0"/>
                <w:sz w:val="28"/>
                <w:szCs w:val="28"/>
                <w:lang w:eastAsia="zh-CN"/>
              </w:rPr>
              <w:t>设置护理专业是切实可行的。</w:t>
            </w:r>
          </w:p>
          <w:p>
            <w:pPr>
              <w:widowControl/>
              <w:spacing w:line="360" w:lineRule="auto"/>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五、“</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”在内涵上：</w:t>
            </w:r>
          </w:p>
          <w:p>
            <w:pPr>
              <w:widowControl/>
              <w:spacing w:line="360" w:lineRule="auto"/>
              <w:ind w:firstLine="280" w:firstLineChars="100"/>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w:t>
            </w:r>
            <w:r>
              <w:rPr>
                <w:rFonts w:hint="eastAsia" w:ascii="宋体" w:hAnsi="宋体" w:eastAsia="宋体" w:cs="宋体"/>
                <w:kern w:val="0"/>
                <w:sz w:val="28"/>
                <w:szCs w:val="28"/>
              </w:rPr>
              <w:t>根据</w:t>
            </w:r>
            <w:r>
              <w:rPr>
                <w:rFonts w:hint="eastAsia" w:ascii="宋体" w:hAnsi="宋体" w:eastAsia="宋体" w:cs="宋体"/>
                <w:kern w:val="0"/>
                <w:sz w:val="28"/>
                <w:szCs w:val="28"/>
                <w:lang w:eastAsia="zh-CN"/>
              </w:rPr>
              <w:t>运城职业技术学院倡导的“三大素养”培养目标，以</w:t>
            </w:r>
            <w:r>
              <w:rPr>
                <w:rFonts w:hint="eastAsia" w:ascii="宋体" w:hAnsi="宋体" w:eastAsia="宋体" w:cs="宋体"/>
                <w:kern w:val="0"/>
                <w:sz w:val="28"/>
                <w:szCs w:val="28"/>
              </w:rPr>
              <w:t>“干什么学什么，缺什么补什么，用什么给什么”的课程体系构建思路，认真分析</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专业学生就业创业的工作过程，在明确岗位能力，明确作为一名合格的</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人才应具备的理论和实操核心能力基础上，确定了核心课程，支撑课程和辅助课程，构建了符合</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高职人才培养需求的课程体系</w:t>
            </w:r>
            <w:r>
              <w:rPr>
                <w:rFonts w:hint="eastAsia" w:ascii="宋体" w:hAnsi="宋体" w:eastAsia="宋体" w:cs="宋体"/>
                <w:kern w:val="0"/>
                <w:sz w:val="28"/>
                <w:szCs w:val="28"/>
                <w:lang w:eastAsia="zh-CN"/>
              </w:rPr>
              <w:t>。</w:t>
            </w:r>
          </w:p>
          <w:p>
            <w:pPr>
              <w:widowControl/>
              <w:spacing w:line="360" w:lineRule="auto"/>
              <w:ind w:firstLine="280" w:firstLineChars="100"/>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中确定的公共基础、专业能力、素质拓展三大课程模块符合专业培养要求</w:t>
            </w:r>
            <w:r>
              <w:rPr>
                <w:rFonts w:hint="eastAsia" w:ascii="宋体" w:hAnsi="宋体" w:eastAsia="宋体" w:cs="宋体"/>
                <w:kern w:val="0"/>
                <w:sz w:val="28"/>
                <w:szCs w:val="28"/>
                <w:lang w:eastAsia="zh-CN"/>
              </w:rPr>
              <w:t>。</w:t>
            </w:r>
          </w:p>
          <w:p>
            <w:pPr>
              <w:widowControl/>
              <w:spacing w:line="360" w:lineRule="auto"/>
              <w:ind w:firstLine="280" w:firstLineChars="100"/>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，突出核心能力培养，确定了动手实操能力、</w:t>
            </w:r>
            <w:r>
              <w:rPr>
                <w:rFonts w:hint="eastAsia" w:ascii="宋体" w:hAnsi="宋体" w:eastAsia="宋体" w:cs="宋体"/>
                <w:kern w:val="0"/>
                <w:sz w:val="28"/>
                <w:szCs w:val="28"/>
                <w:lang w:eastAsia="zh-CN"/>
              </w:rPr>
              <w:t>通用护理技术和一定专科化方向化护理技术并重</w:t>
            </w:r>
            <w:r>
              <w:rPr>
                <w:rFonts w:hint="eastAsia" w:ascii="宋体" w:hAnsi="宋体" w:eastAsia="宋体" w:cs="宋体"/>
                <w:kern w:val="0"/>
                <w:sz w:val="28"/>
                <w:szCs w:val="28"/>
              </w:rPr>
              <w:t>等重点培养能力，采取现代师承制教学法，体现了高职教育规律和时代特点</w:t>
            </w:r>
            <w:r>
              <w:rPr>
                <w:rFonts w:hint="eastAsia" w:ascii="宋体" w:hAnsi="宋体" w:eastAsia="宋体" w:cs="宋体"/>
                <w:kern w:val="0"/>
                <w:sz w:val="28"/>
                <w:szCs w:val="28"/>
                <w:lang w:eastAsia="zh-CN"/>
              </w:rPr>
              <w:t>。</w:t>
            </w:r>
          </w:p>
          <w:p>
            <w:pPr>
              <w:widowControl/>
              <w:spacing w:line="360" w:lineRule="auto"/>
              <w:ind w:firstLine="280" w:firstLineChars="100"/>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4.</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在确定课程体系的同时，对考核方式，学时分配以及教学实践课与理论课的比列、认知、实操和顶岗实习三大实践环节设置比较合理。</w:t>
            </w:r>
          </w:p>
          <w:p>
            <w:pPr>
              <w:widowControl/>
              <w:spacing w:line="360" w:lineRule="auto"/>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六、总结</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”有三个特色：</w:t>
            </w:r>
          </w:p>
          <w:p>
            <w:pPr>
              <w:widowControl/>
              <w:spacing w:line="360" w:lineRule="auto"/>
              <w:ind w:firstLine="560" w:firstLineChars="200"/>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1.</w:t>
            </w:r>
            <w:r>
              <w:rPr>
                <w:rFonts w:hint="eastAsia" w:ascii="宋体" w:hAnsi="宋体" w:eastAsia="宋体" w:cs="宋体"/>
                <w:kern w:val="0"/>
                <w:sz w:val="28"/>
                <w:szCs w:val="28"/>
                <w:lang w:eastAsia="zh-CN"/>
              </w:rPr>
              <w:t>运城职业技术学院实施独特的“三大素养”“三位一体”的人才培养目标。使“</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”的落地扎扎扎实实接地气。人才培养的环节看得见摸得着。</w:t>
            </w:r>
          </w:p>
          <w:p>
            <w:pPr>
              <w:widowControl/>
              <w:spacing w:line="360" w:lineRule="auto"/>
              <w:ind w:firstLine="560" w:firstLineChars="200"/>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符合高职教育教学要求和</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类高职人才培养目标要求</w:t>
            </w:r>
            <w:r>
              <w:rPr>
                <w:rFonts w:hint="eastAsia" w:ascii="宋体" w:hAnsi="宋体" w:eastAsia="宋体" w:cs="宋体"/>
                <w:kern w:val="0"/>
                <w:sz w:val="28"/>
                <w:szCs w:val="28"/>
                <w:lang w:eastAsia="zh-CN"/>
              </w:rPr>
              <w:t>。</w:t>
            </w:r>
          </w:p>
          <w:p>
            <w:pPr>
              <w:widowControl/>
              <w:spacing w:line="360" w:lineRule="auto"/>
              <w:ind w:firstLine="560" w:firstLineChars="200"/>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”在课程体系建设上，确立了当今</w:t>
            </w:r>
            <w:r>
              <w:rPr>
                <w:rFonts w:hint="eastAsia" w:ascii="宋体" w:hAnsi="宋体" w:eastAsia="宋体" w:cs="宋体"/>
                <w:kern w:val="0"/>
                <w:sz w:val="28"/>
                <w:szCs w:val="28"/>
              </w:rPr>
              <w:t>护理专业教育既要培养通用</w:t>
            </w:r>
            <w:r>
              <w:rPr>
                <w:rFonts w:hint="eastAsia" w:ascii="宋体" w:hAnsi="宋体" w:eastAsia="宋体" w:cs="宋体"/>
                <w:kern w:val="0"/>
                <w:sz w:val="28"/>
                <w:szCs w:val="28"/>
                <w:lang w:eastAsia="zh-CN"/>
              </w:rPr>
              <w:t>护理技术的护士</w:t>
            </w:r>
            <w:r>
              <w:rPr>
                <w:rFonts w:hint="eastAsia" w:ascii="宋体" w:hAnsi="宋体" w:eastAsia="宋体" w:cs="宋体"/>
                <w:kern w:val="0"/>
                <w:sz w:val="28"/>
                <w:szCs w:val="28"/>
              </w:rPr>
              <w:t>,也要培养有专业方向的护士</w:t>
            </w:r>
            <w:r>
              <w:rPr>
                <w:rFonts w:hint="eastAsia" w:ascii="宋体" w:hAnsi="宋体" w:eastAsia="宋体" w:cs="宋体"/>
                <w:kern w:val="0"/>
                <w:sz w:val="28"/>
                <w:szCs w:val="28"/>
                <w:lang w:eastAsia="zh-CN"/>
              </w:rPr>
              <w:t>，打破常规，增加了社区护理、老年护理、康复护理三个方向课程和理实一体的教学学时，</w:t>
            </w:r>
            <w:r>
              <w:rPr>
                <w:rFonts w:hint="eastAsia" w:ascii="宋体" w:hAnsi="宋体" w:eastAsia="宋体" w:cs="宋体"/>
                <w:kern w:val="0"/>
                <w:sz w:val="28"/>
                <w:szCs w:val="28"/>
              </w:rPr>
              <w:t>具有运职院自己的特色。</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二、</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需要修改完善的两个方面</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1.</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中应进一步明确</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专业学生在校期间所</w:t>
            </w:r>
            <w:r>
              <w:rPr>
                <w:rFonts w:hint="eastAsia" w:ascii="宋体" w:hAnsi="宋体" w:eastAsia="宋体" w:cs="宋体"/>
                <w:kern w:val="0"/>
                <w:sz w:val="28"/>
                <w:szCs w:val="28"/>
                <w:lang w:eastAsia="zh-CN"/>
              </w:rPr>
              <w:t>能</w:t>
            </w:r>
            <w:r>
              <w:rPr>
                <w:rFonts w:hint="eastAsia" w:ascii="宋体" w:hAnsi="宋体" w:eastAsia="宋体" w:cs="宋体"/>
                <w:kern w:val="0"/>
                <w:sz w:val="28"/>
                <w:szCs w:val="28"/>
              </w:rPr>
              <w:t>获得的职业资格证书和技能技术证书。</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2.在</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的课程说明中，应强调该专业教材选用</w:t>
            </w:r>
            <w:r>
              <w:rPr>
                <w:rFonts w:hint="eastAsia" w:ascii="宋体" w:hAnsi="宋体" w:eastAsia="宋体" w:cs="宋体"/>
                <w:kern w:val="0"/>
                <w:sz w:val="28"/>
                <w:szCs w:val="28"/>
                <w:lang w:eastAsia="zh-CN"/>
              </w:rPr>
              <w:t>的</w:t>
            </w:r>
            <w:r>
              <w:rPr>
                <w:rFonts w:hint="eastAsia" w:ascii="宋体" w:hAnsi="宋体" w:eastAsia="宋体" w:cs="宋体"/>
                <w:kern w:val="0"/>
                <w:sz w:val="28"/>
                <w:szCs w:val="28"/>
              </w:rPr>
              <w:t>教材。</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三、实践教学条件较完善，能够满足专业教学、实训需求。</w:t>
            </w:r>
          </w:p>
          <w:p>
            <w:pPr>
              <w:widowControl/>
              <w:adjustRightInd w:val="0"/>
              <w:snapToGrid w:val="0"/>
              <w:spacing w:line="360" w:lineRule="auto"/>
              <w:ind w:firstLine="562" w:firstLineChars="200"/>
              <w:rPr>
                <w:rFonts w:ascii="宋体" w:hAnsi="宋体" w:eastAsia="宋体" w:cs="宋体"/>
                <w:b/>
                <w:bCs/>
                <w:kern w:val="0"/>
                <w:sz w:val="28"/>
                <w:szCs w:val="28"/>
              </w:rPr>
            </w:pPr>
            <w:r>
              <w:rPr>
                <w:rFonts w:hint="eastAsia" w:ascii="宋体" w:hAnsi="宋体" w:eastAsia="宋体" w:cs="宋体"/>
                <w:b/>
                <w:bCs/>
                <w:kern w:val="0"/>
                <w:sz w:val="28"/>
                <w:szCs w:val="28"/>
              </w:rPr>
              <w:t>经论证，与会专家一致认为，从</w:t>
            </w:r>
            <w:r>
              <w:rPr>
                <w:rFonts w:hint="eastAsia" w:ascii="宋体" w:hAnsi="宋体" w:eastAsia="宋体" w:cs="宋体"/>
                <w:b/>
                <w:bCs/>
                <w:kern w:val="0"/>
                <w:sz w:val="28"/>
                <w:szCs w:val="28"/>
                <w:lang w:eastAsia="zh-CN"/>
              </w:rPr>
              <w:t>护理</w:t>
            </w:r>
            <w:r>
              <w:rPr>
                <w:rFonts w:hint="eastAsia" w:ascii="宋体" w:hAnsi="宋体" w:eastAsia="宋体" w:cs="宋体"/>
                <w:b/>
                <w:bCs/>
                <w:kern w:val="0"/>
                <w:sz w:val="28"/>
                <w:szCs w:val="28"/>
              </w:rPr>
              <w:t>类高职人才需求的必要性，运城职业技术学院</w:t>
            </w:r>
            <w:r>
              <w:rPr>
                <w:rFonts w:hint="eastAsia" w:ascii="宋体" w:hAnsi="宋体" w:eastAsia="宋体" w:cs="宋体"/>
                <w:b/>
                <w:bCs/>
                <w:kern w:val="0"/>
                <w:sz w:val="28"/>
                <w:szCs w:val="28"/>
                <w:lang w:eastAsia="zh-CN"/>
              </w:rPr>
              <w:t>护理</w:t>
            </w:r>
            <w:r>
              <w:rPr>
                <w:rFonts w:hint="eastAsia" w:ascii="宋体" w:hAnsi="宋体" w:eastAsia="宋体" w:cs="宋体"/>
                <w:b/>
                <w:bCs/>
                <w:kern w:val="0"/>
                <w:sz w:val="28"/>
                <w:szCs w:val="28"/>
              </w:rPr>
              <w:t>类专业群建设的基础，以及专业师资队伍建设（专兼结合，名师名医和骨干双师教师任教），实践教学条件建设，教学运行管理积累的经验等诸方面条件考虑，运城职业技术学院具备设置《</w:t>
            </w:r>
            <w:r>
              <w:rPr>
                <w:rFonts w:hint="eastAsia" w:ascii="宋体" w:hAnsi="宋体" w:eastAsia="宋体" w:cs="宋体"/>
                <w:b/>
                <w:bCs/>
                <w:kern w:val="0"/>
                <w:sz w:val="28"/>
                <w:szCs w:val="28"/>
                <w:lang w:eastAsia="zh-CN"/>
              </w:rPr>
              <w:t>护理</w:t>
            </w:r>
            <w:r>
              <w:rPr>
                <w:rFonts w:hint="eastAsia" w:ascii="宋体" w:hAnsi="宋体" w:eastAsia="宋体" w:cs="宋体"/>
                <w:b/>
                <w:bCs/>
                <w:kern w:val="0"/>
                <w:sz w:val="28"/>
                <w:szCs w:val="28"/>
              </w:rPr>
              <w:t xml:space="preserve">》专业条件，可以向省教育厅及相关部门申报新增此专业。 </w:t>
            </w:r>
          </w:p>
          <w:p>
            <w:pPr>
              <w:jc w:val="left"/>
              <w:rPr>
                <w:rFonts w:hint="eastAsia" w:ascii="宋体" w:hAnsi="宋体" w:eastAsia="宋体" w:cs="宋体"/>
                <w:kern w:val="0"/>
                <w:sz w:val="28"/>
                <w:szCs w:val="28"/>
              </w:rPr>
            </w:pPr>
            <w:r>
              <w:rPr>
                <w:rFonts w:hint="eastAsia" w:ascii="宋体" w:hAnsi="宋体" w:eastAsia="宋体" w:cs="宋体"/>
                <w:b/>
                <w:bCs/>
                <w:kern w:val="0"/>
                <w:sz w:val="28"/>
                <w:szCs w:val="28"/>
              </w:rPr>
              <w:t xml:space="preserve">      </w:t>
            </w:r>
            <w:r>
              <w:rPr>
                <w:rFonts w:hint="eastAsia" w:ascii="宋体" w:hAnsi="宋体" w:eastAsia="宋体" w:cs="宋体"/>
                <w:b/>
                <w:bCs/>
                <w:kern w:val="0"/>
                <w:sz w:val="28"/>
                <w:szCs w:val="28"/>
                <w:lang w:val="en-US" w:eastAsia="zh-CN"/>
              </w:rPr>
              <w:t xml:space="preserve">                          </w:t>
            </w:r>
            <w:r>
              <w:rPr>
                <w:rFonts w:hint="eastAsia" w:ascii="宋体" w:hAnsi="宋体" w:eastAsia="宋体" w:cs="宋体"/>
                <w:kern w:val="0"/>
                <w:sz w:val="28"/>
                <w:szCs w:val="28"/>
                <w:lang w:val="en-US" w:eastAsia="zh-CN"/>
              </w:rPr>
              <w:t>2017</w:t>
            </w:r>
            <w:r>
              <w:rPr>
                <w:rFonts w:hint="eastAsia" w:ascii="宋体" w:hAnsi="宋体" w:eastAsia="宋体" w:cs="宋体"/>
                <w:kern w:val="0"/>
                <w:sz w:val="28"/>
                <w:szCs w:val="28"/>
              </w:rPr>
              <w:t xml:space="preserve"> 年 </w:t>
            </w:r>
            <w:r>
              <w:rPr>
                <w:rFonts w:hint="eastAsia" w:ascii="宋体" w:hAnsi="宋体" w:eastAsia="宋体" w:cs="宋体"/>
                <w:kern w:val="0"/>
                <w:sz w:val="28"/>
                <w:szCs w:val="28"/>
                <w:lang w:val="en-US" w:eastAsia="zh-CN"/>
              </w:rPr>
              <w:t>6</w:t>
            </w:r>
            <w:r>
              <w:rPr>
                <w:rFonts w:hint="eastAsia" w:ascii="宋体" w:hAnsi="宋体" w:eastAsia="宋体" w:cs="宋体"/>
                <w:kern w:val="0"/>
                <w:sz w:val="28"/>
                <w:szCs w:val="28"/>
              </w:rPr>
              <w:t xml:space="preserve"> 月 </w:t>
            </w:r>
            <w:r>
              <w:rPr>
                <w:rFonts w:hint="eastAsia" w:ascii="宋体" w:hAnsi="宋体" w:eastAsia="宋体" w:cs="宋体"/>
                <w:kern w:val="0"/>
                <w:sz w:val="28"/>
                <w:szCs w:val="28"/>
                <w:lang w:val="en-US" w:eastAsia="zh-CN"/>
              </w:rPr>
              <w:t>5</w:t>
            </w:r>
            <w:r>
              <w:rPr>
                <w:rFonts w:hint="eastAsia" w:ascii="宋体" w:hAnsi="宋体" w:eastAsia="宋体" w:cs="宋体"/>
                <w:kern w:val="0"/>
                <w:sz w:val="28"/>
                <w:szCs w:val="28"/>
              </w:rPr>
              <w:t xml:space="preserve"> 日</w:t>
            </w:r>
          </w:p>
          <w:p>
            <w:pPr>
              <w:jc w:val="left"/>
              <w:rPr>
                <w:rFonts w:hint="eastAsia" w:ascii="宋体" w:hAnsi="宋体" w:eastAsia="宋体" w:cs="宋体"/>
                <w:kern w:val="0"/>
                <w:sz w:val="28"/>
                <w:szCs w:val="28"/>
              </w:rPr>
            </w:pPr>
          </w:p>
          <w:p>
            <w:pPr>
              <w:jc w:val="left"/>
              <w:rPr>
                <w:rFonts w:hint="eastAsia"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restart"/>
          </w:tcPr>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both"/>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专家信息</w:t>
            </w:r>
          </w:p>
        </w:tc>
        <w:tc>
          <w:tcPr>
            <w:tcW w:w="1056" w:type="dxa"/>
            <w:vAlign w:val="center"/>
          </w:tcPr>
          <w:p>
            <w:pPr>
              <w:jc w:val="center"/>
              <w:rPr>
                <w:rFonts w:hint="eastAsia" w:ascii="宋体" w:hAnsi="宋体" w:eastAsia="宋体" w:cs="宋体"/>
                <w:kern w:val="0"/>
                <w:sz w:val="28"/>
                <w:szCs w:val="28"/>
              </w:rPr>
            </w:pPr>
            <w:r>
              <w:rPr>
                <w:rFonts w:hint="eastAsia" w:ascii="微软雅黑" w:hAnsi="微软雅黑" w:eastAsia="微软雅黑" w:cs="微软雅黑"/>
                <w:kern w:val="0"/>
                <w:sz w:val="24"/>
                <w:szCs w:val="20"/>
              </w:rPr>
              <w:t>姓 名</w:t>
            </w:r>
          </w:p>
        </w:tc>
        <w:tc>
          <w:tcPr>
            <w:tcW w:w="2160" w:type="dxa"/>
            <w:vAlign w:val="center"/>
          </w:tcPr>
          <w:p>
            <w:pPr>
              <w:jc w:val="center"/>
              <w:rPr>
                <w:rFonts w:hint="eastAsia" w:ascii="宋体" w:hAnsi="宋体" w:eastAsia="宋体" w:cs="宋体"/>
                <w:kern w:val="0"/>
                <w:sz w:val="28"/>
                <w:szCs w:val="28"/>
              </w:rPr>
            </w:pPr>
            <w:r>
              <w:rPr>
                <w:rFonts w:hint="eastAsia" w:ascii="微软雅黑" w:hAnsi="微软雅黑" w:eastAsia="微软雅黑" w:cs="微软雅黑"/>
                <w:kern w:val="0"/>
                <w:sz w:val="24"/>
                <w:szCs w:val="20"/>
              </w:rPr>
              <w:t>所在单位</w:t>
            </w:r>
          </w:p>
        </w:tc>
        <w:tc>
          <w:tcPr>
            <w:tcW w:w="1989" w:type="dxa"/>
            <w:vAlign w:val="center"/>
          </w:tcPr>
          <w:p>
            <w:pPr>
              <w:spacing w:line="300" w:lineRule="exact"/>
              <w:jc w:val="center"/>
              <w:rPr>
                <w:rFonts w:ascii="微软雅黑" w:hAnsi="微软雅黑" w:eastAsia="微软雅黑" w:cs="微软雅黑"/>
                <w:kern w:val="0"/>
                <w:sz w:val="24"/>
                <w:szCs w:val="20"/>
              </w:rPr>
            </w:pPr>
            <w:r>
              <w:rPr>
                <w:rFonts w:hint="eastAsia" w:ascii="微软雅黑" w:hAnsi="微软雅黑" w:eastAsia="微软雅黑" w:cs="微软雅黑"/>
                <w:kern w:val="0"/>
                <w:sz w:val="24"/>
                <w:szCs w:val="20"/>
              </w:rPr>
              <w:t>职务</w:t>
            </w:r>
          </w:p>
          <w:p>
            <w:pPr>
              <w:spacing w:line="300" w:lineRule="exact"/>
              <w:jc w:val="center"/>
              <w:rPr>
                <w:rFonts w:hint="eastAsia" w:ascii="宋体" w:hAnsi="宋体" w:eastAsia="宋体" w:cs="宋体"/>
                <w:kern w:val="0"/>
                <w:sz w:val="28"/>
                <w:szCs w:val="28"/>
              </w:rPr>
            </w:pPr>
            <w:r>
              <w:rPr>
                <w:rFonts w:hint="eastAsia" w:ascii="微软雅黑" w:hAnsi="微软雅黑" w:eastAsia="微软雅黑" w:cs="微软雅黑"/>
                <w:kern w:val="0"/>
                <w:sz w:val="24"/>
                <w:szCs w:val="20"/>
              </w:rPr>
              <w:t>行政/专业</w:t>
            </w:r>
          </w:p>
        </w:tc>
        <w:tc>
          <w:tcPr>
            <w:tcW w:w="1361" w:type="dxa"/>
            <w:vAlign w:val="center"/>
          </w:tcPr>
          <w:p>
            <w:pPr>
              <w:jc w:val="center"/>
              <w:rPr>
                <w:rFonts w:hint="eastAsia" w:ascii="宋体" w:hAnsi="宋体" w:eastAsia="宋体" w:cs="宋体"/>
                <w:kern w:val="0"/>
                <w:sz w:val="28"/>
                <w:szCs w:val="28"/>
              </w:rPr>
            </w:pPr>
            <w:r>
              <w:rPr>
                <w:rFonts w:hint="eastAsia" w:ascii="微软雅黑" w:hAnsi="微软雅黑" w:eastAsia="微软雅黑" w:cs="微软雅黑"/>
                <w:kern w:val="0"/>
                <w:sz w:val="24"/>
                <w:szCs w:val="20"/>
              </w:rPr>
              <w:t>专业领域</w:t>
            </w:r>
          </w:p>
        </w:tc>
        <w:tc>
          <w:tcPr>
            <w:tcW w:w="2153" w:type="dxa"/>
            <w:vAlign w:val="center"/>
          </w:tcPr>
          <w:p>
            <w:pPr>
              <w:jc w:val="center"/>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0" w:usb3="00000000" w:csb0="0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书宋简体">
    <w:altName w:val="宋体"/>
    <w:panose1 w:val="00000000000000000000"/>
    <w:charset w:val="86"/>
    <w:family w:val="roma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Hiragino Sans GB">
    <w:altName w:val="Segoe Print"/>
    <w:panose1 w:val="00000000000000000000"/>
    <w:charset w:val="00"/>
    <w:family w:val="auto"/>
    <w:pitch w:val="default"/>
    <w:sig w:usb0="00000000" w:usb1="00000000" w:usb2="00000000" w:usb3="00000000" w:csb0="00000000" w:csb1="00000000"/>
  </w:font>
  <w:font w:name="Hiragino Sans GB W3">
    <w:altName w:val="宋体"/>
    <w:panose1 w:val="020B0300000000000000"/>
    <w:charset w:val="86"/>
    <w:family w:val="auto"/>
    <w:pitch w:val="default"/>
    <w:sig w:usb0="00000000" w:usb1="00000000" w:usb2="00000016" w:usb3="00000000" w:csb0="00060007"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baikefont">
    <w:altName w:val="Segoe Print"/>
    <w:panose1 w:val="00000000000000000000"/>
    <w:charset w:val="00"/>
    <w:family w:val="auto"/>
    <w:pitch w:val="default"/>
    <w:sig w:usb0="00000000" w:usb1="00000000" w:usb2="00000000" w:usb3="00000000" w:csb0="00000000" w:csb1="00000000"/>
  </w:font>
  <w:font w:name="HanaMinA">
    <w:altName w:val="MS UI Gothic"/>
    <w:panose1 w:val="02000609000000000000"/>
    <w:charset w:val="80"/>
    <w:family w:val="auto"/>
    <w:pitch w:val="default"/>
    <w:sig w:usb0="00000000" w:usb1="00000000" w:usb2="00000000" w:usb3="00000000" w:csb0="00020001" w:csb1="00000000"/>
  </w:font>
  <w:font w:name="MS UI Gothic">
    <w:panose1 w:val="020B0600070205080204"/>
    <w:charset w:val="80"/>
    <w:family w:val="auto"/>
    <w:pitch w:val="default"/>
    <w:sig w:usb0="E00002FF" w:usb1="6AC7FDFB" w:usb2="00000012" w:usb3="00000000" w:csb0="4002009F" w:csb1="DFD70000"/>
  </w:font>
  <w:font w:name="华文楷体">
    <w:panose1 w:val="02010600040101010101"/>
    <w:charset w:val="86"/>
    <w:family w:val="auto"/>
    <w:pitch w:val="default"/>
    <w:sig w:usb0="00000287" w:usb1="080F0000" w:usb2="00000000" w:usb3="00000000" w:csb0="0004009F" w:csb1="DFD70000"/>
  </w:font>
  <w:font w:name="微软繁超黑">
    <w:panose1 w:val="00000000000000000000"/>
    <w:charset w:val="00"/>
    <w:family w:val="auto"/>
    <w:pitch w:val="default"/>
    <w:sig w:usb0="00000000" w:usb1="00000000" w:usb2="00000000" w:usb3="00000000" w:csb0="00000000" w:csb1="00000000"/>
  </w:font>
  <w:font w:name="微软繁隶书">
    <w:panose1 w:val="00000000000000000000"/>
    <w:charset w:val="00"/>
    <w:family w:val="auto"/>
    <w:pitch w:val="default"/>
    <w:sig w:usb0="00000000" w:usb1="00000000" w:usb2="00000000" w:usb3="00000000" w:csb0="00000000" w:csb1="00000000"/>
  </w:font>
  <w:font w:name="微软繁魏碑">
    <w:panose1 w:val="00000000000000000000"/>
    <w:charset w:val="00"/>
    <w:family w:val="auto"/>
    <w:pitch w:val="default"/>
    <w:sig w:usb0="00000000" w:usb1="00000000" w:usb2="00000000" w:usb3="00000000" w:csb0="00000000" w:csb1="00000000"/>
  </w:font>
  <w:font w:name="微软繁宋体">
    <w:panose1 w:val="00000000000000000000"/>
    <w:charset w:val="00"/>
    <w:family w:val="auto"/>
    <w:pitch w:val="default"/>
    <w:sig w:usb0="00000000" w:usb1="00000000" w:usb2="00000000" w:usb3="00000000" w:csb0="00000000" w:csb1="00000000"/>
  </w:font>
  <w:font w:name="微软繁标宋">
    <w:panose1 w:val="00000000000000000000"/>
    <w:charset w:val="00"/>
    <w:family w:val="auto"/>
    <w:pitch w:val="default"/>
    <w:sig w:usb0="00000000" w:usb1="00000000" w:usb2="00000000" w:usb3="00000000" w:csb0="00000000" w:csb1="00000000"/>
  </w:font>
  <w:font w:name="微软繁楷体">
    <w:panose1 w:val="00000000000000000000"/>
    <w:charset w:val="00"/>
    <w:family w:val="auto"/>
    <w:pitch w:val="default"/>
    <w:sig w:usb0="00000000" w:usb1="00000000" w:usb2="00000000" w:usb3="00000000" w:csb0="00000000" w:csb1="00000000"/>
  </w:font>
  <w:font w:name="微软繁琥珀">
    <w:panose1 w:val="00000000000000000000"/>
    <w:charset w:val="00"/>
    <w:family w:val="auto"/>
    <w:pitch w:val="default"/>
    <w:sig w:usb0="00000000" w:usb1="00000000" w:usb2="00000000" w:usb3="00000000" w:csb0="00000000" w:csb1="00000000"/>
  </w:font>
  <w:font w:name="微软简粗黑">
    <w:panose1 w:val="00000000000000000000"/>
    <w:charset w:val="00"/>
    <w:family w:val="auto"/>
    <w:pitch w:val="default"/>
    <w:sig w:usb0="00000000" w:usb1="00000000" w:usb2="00000000" w:usb3="00000000" w:csb0="00000000" w:csb1="00000000"/>
  </w:font>
  <w:font w:name="微软简老宋">
    <w:panose1 w:val="00000000000000000000"/>
    <w:charset w:val="00"/>
    <w:family w:val="auto"/>
    <w:pitch w:val="default"/>
    <w:sig w:usb0="00000000" w:usb1="00000000" w:usb2="00000000" w:usb3="00000000" w:csb0="00000000" w:csb1="00000000"/>
  </w:font>
  <w:font w:name="微软简行楷">
    <w:panose1 w:val="00000000000000000000"/>
    <w:charset w:val="00"/>
    <w:family w:val="auto"/>
    <w:pitch w:val="default"/>
    <w:sig w:usb0="00000000" w:usb1="00000000" w:usb2="00000000" w:usb3="00000000" w:csb0="00000000" w:csb1="00000000"/>
  </w:font>
  <w:font w:name="微软简隶书">
    <w:panose1 w:val="00000000000000000000"/>
    <w:charset w:val="00"/>
    <w:family w:val="auto"/>
    <w:pitch w:val="default"/>
    <w:sig w:usb0="00000000" w:usb1="00000000" w:usb2="00000000" w:usb3="00000000" w:csb0="00000000" w:csb1="00000000"/>
  </w:font>
  <w:font w:name="微软简魏碑">
    <w:panose1 w:val="00000000000000000000"/>
    <w:charset w:val="00"/>
    <w:family w:val="auto"/>
    <w:pitch w:val="default"/>
    <w:sig w:usb0="00000000" w:usb1="00000000" w:usb2="00000000" w:usb3="00000000" w:csb0="00000000" w:csb1="00000000"/>
  </w:font>
  <w:font w:name="微软简楷体">
    <w:panose1 w:val="00000000000000000000"/>
    <w:charset w:val="00"/>
    <w:family w:val="auto"/>
    <w:pitch w:val="default"/>
    <w:sig w:usb0="00000000" w:usb1="00000000" w:usb2="00000000" w:usb3="00000000" w:csb0="00000000" w:csb1="00000000"/>
  </w:font>
  <w:font w:name="微软简标宋">
    <w:panose1 w:val="00000000000000000000"/>
    <w:charset w:val="00"/>
    <w:family w:val="auto"/>
    <w:pitch w:val="default"/>
    <w:sig w:usb0="00000000" w:usb1="00000000" w:usb2="00000000" w:usb3="00000000" w:csb0="00000000" w:csb1="00000000"/>
  </w:font>
  <w:font w:name="Palatino Linotype">
    <w:panose1 w:val="02040502050505030304"/>
    <w:charset w:val="00"/>
    <w:family w:val="auto"/>
    <w:pitch w:val="default"/>
    <w:sig w:usb0="E0000287" w:usb1="40000013" w:usb2="00000000" w:usb3="00000000" w:csb0="2000019F" w:csb1="00000000"/>
  </w:font>
  <w:font w:name="MS Shell Dlg">
    <w:altName w:val="Microsoft Sans Serif"/>
    <w:panose1 w:val="020B0604020202020204"/>
    <w:charset w:val="00"/>
    <w:family w:val="swiss"/>
    <w:pitch w:val="default"/>
    <w:sig w:usb0="00000000" w:usb1="00000000" w:usb2="00000008" w:usb3="00000000" w:csb0="000101FF" w:csb1="00000000"/>
  </w:font>
  <w:font w:name="新宋体">
    <w:panose1 w:val="02010609030101010101"/>
    <w:charset w:val="86"/>
    <w:family w:val="modern"/>
    <w:pitch w:val="default"/>
    <w:sig w:usb0="00000003" w:usb1="288F0000" w:usb2="00000006" w:usb3="00000000" w:csb0="00040001" w:csb1="00000000"/>
  </w:font>
  <w:font w:name="Microsoft Sans Serif">
    <w:panose1 w:val="020B0604020202020204"/>
    <w:charset w:val="00"/>
    <w:family w:val="auto"/>
    <w:pitch w:val="default"/>
    <w:sig w:usb0="E1002AFF" w:usb1="C0000002" w:usb2="00000008" w:usb3="00000000" w:csb0="200101FF" w:csb1="20280000"/>
  </w:font>
  <w:font w:name="PMingLiU">
    <w:panose1 w:val="02020500000000000000"/>
    <w:charset w:val="88"/>
    <w:family w:val="auto"/>
    <w:pitch w:val="default"/>
    <w:sig w:usb0="A00002FF" w:usb1="28CFFCFA" w:usb2="00000016" w:usb3="00000000" w:csb0="00100001" w:csb1="00000000"/>
  </w:font>
  <w:font w:name="宋体-PUA">
    <w:altName w:val="宋体"/>
    <w:panose1 w:val="02010600030101010101"/>
    <w:charset w:val="86"/>
    <w:family w:val="auto"/>
    <w:pitch w:val="default"/>
    <w:sig w:usb0="00000000" w:usb1="0000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MingLiU">
    <w:panose1 w:val="02020509000000000000"/>
    <w:charset w:val="88"/>
    <w:family w:val="auto"/>
    <w:pitch w:val="default"/>
    <w:sig w:usb0="A00002FF" w:usb1="28CFFCFA" w:usb2="00000016" w:usb3="00000000" w:csb0="00100001" w:csb1="00000000"/>
  </w:font>
  <w:font w:name="GulimChe">
    <w:altName w:val="Calibri"/>
    <w:panose1 w:val="020B0609000101010101"/>
    <w:charset w:val="81"/>
    <w:family w:val="auto"/>
    <w:pitch w:val="default"/>
    <w:sig w:usb0="00000000" w:usb1="00000000" w:usb2="00000030" w:usb3="00000000" w:csb0="4008009F" w:csb1="DFD70000"/>
  </w:font>
  <w:font w:name="Gulim">
    <w:altName w:val="Calibri"/>
    <w:panose1 w:val="020B0600000101010101"/>
    <w:charset w:val="81"/>
    <w:family w:val="auto"/>
    <w:pitch w:val="default"/>
    <w:sig w:usb0="00000000" w:usb1="00000000" w:usb2="00000030" w:usb3="00000000" w:csb0="4008009F" w:csb1="DFD70000"/>
  </w:font>
  <w:font w:name="DotumChe">
    <w:altName w:val="Calibri"/>
    <w:panose1 w:val="020B0609000101010101"/>
    <w:charset w:val="81"/>
    <w:family w:val="auto"/>
    <w:pitch w:val="default"/>
    <w:sig w:usb0="00000000" w:usb1="00000000" w:usb2="00000030" w:usb3="00000000" w:csb0="4008009F" w:csb1="DFD70000"/>
  </w:font>
  <w:font w:name="Dotum">
    <w:altName w:val="Calibri"/>
    <w:panose1 w:val="020B0600000101010101"/>
    <w:charset w:val="81"/>
    <w:family w:val="auto"/>
    <w:pitch w:val="default"/>
    <w:sig w:usb0="00000000" w:usb1="00000000"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汉仪旗黑-55">
    <w:altName w:val="黑体"/>
    <w:panose1 w:val="00020600040101010101"/>
    <w:charset w:val="86"/>
    <w:family w:val="auto"/>
    <w:pitch w:val="default"/>
    <w:sig w:usb0="00000000" w:usb1="00000000" w:usb2="00000016"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PingFang SC">
    <w:altName w:val="Courier New"/>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algun Gothic">
    <w:altName w:val="Calibri"/>
    <w:panose1 w:val="020B0503020000020004"/>
    <w:charset w:val="81"/>
    <w:family w:val="auto"/>
    <w:pitch w:val="default"/>
    <w:sig w:usb0="00000000" w:usb1="00000000" w:usb2="00000012" w:usb3="00000000" w:csb0="00080001" w:csb1="00000000"/>
  </w:font>
  <w:font w:name="BaiduSD Number">
    <w:altName w:val="CordiaUPC"/>
    <w:panose1 w:val="020B0203020202020204"/>
    <w:charset w:val="00"/>
    <w:family w:val="auto"/>
    <w:pitch w:val="default"/>
    <w:sig w:usb0="00000000" w:usb1="00000000" w:usb2="00000000" w:usb3="00000000" w:csb0="2000009B" w:csb1="00000000"/>
  </w:font>
  <w:font w:name="CordiaUPC">
    <w:panose1 w:val="020B0304020202020204"/>
    <w:charset w:val="00"/>
    <w:family w:val="auto"/>
    <w:pitch w:val="default"/>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DA1EF1"/>
    <w:rsid w:val="02F40841"/>
    <w:rsid w:val="06F17DCD"/>
    <w:rsid w:val="095F78C8"/>
    <w:rsid w:val="0B366A90"/>
    <w:rsid w:val="0BBF742B"/>
    <w:rsid w:val="0D9E1D39"/>
    <w:rsid w:val="1640427A"/>
    <w:rsid w:val="17DA1EF1"/>
    <w:rsid w:val="1C3A128E"/>
    <w:rsid w:val="233D1DEA"/>
    <w:rsid w:val="281653FF"/>
    <w:rsid w:val="2BDC17E5"/>
    <w:rsid w:val="2E3E00DA"/>
    <w:rsid w:val="2F013AD0"/>
    <w:rsid w:val="32255A1C"/>
    <w:rsid w:val="331112F5"/>
    <w:rsid w:val="35900ACD"/>
    <w:rsid w:val="37D6151B"/>
    <w:rsid w:val="3B380331"/>
    <w:rsid w:val="3F82087E"/>
    <w:rsid w:val="43957525"/>
    <w:rsid w:val="4F4E3280"/>
    <w:rsid w:val="53E74D63"/>
    <w:rsid w:val="574F5F3B"/>
    <w:rsid w:val="5ADD1BF8"/>
    <w:rsid w:val="5BE6766E"/>
    <w:rsid w:val="60D3201D"/>
    <w:rsid w:val="63443572"/>
    <w:rsid w:val="7B9A33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before="312" w:beforeLines="100" w:after="312" w:afterLines="100" w:line="415" w:lineRule="auto"/>
      <w:outlineLvl w:val="1"/>
    </w:pPr>
    <w:rPr>
      <w:rFonts w:ascii="Arial" w:hAnsi="Arial" w:eastAsia="宋体"/>
      <w:b/>
      <w:bCs/>
      <w:sz w:val="24"/>
      <w:szCs w:val="32"/>
    </w:rPr>
  </w:style>
  <w:style w:type="paragraph" w:styleId="3">
    <w:name w:val="heading 3"/>
    <w:basedOn w:val="1"/>
    <w:next w:val="1"/>
    <w:unhideWhenUsed/>
    <w:qFormat/>
    <w:uiPriority w:val="0"/>
    <w:pPr>
      <w:keepNext/>
      <w:keepLines/>
      <w:spacing w:before="260" w:beforeLines="0" w:after="260" w:afterLines="0" w:line="416" w:lineRule="auto"/>
      <w:outlineLvl w:val="2"/>
    </w:pPr>
    <w:rPr>
      <w:b/>
      <w:bCs/>
      <w:sz w:val="32"/>
      <w:szCs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样式 1正文 + 首行缩进:  2 字符"/>
    <w:basedOn w:val="10"/>
    <w:qFormat/>
    <w:uiPriority w:val="0"/>
    <w:pPr>
      <w:ind w:firstLine="420"/>
    </w:pPr>
  </w:style>
  <w:style w:type="paragraph" w:customStyle="1" w:styleId="10">
    <w:name w:val="1正文"/>
    <w:basedOn w:val="1"/>
    <w:qFormat/>
    <w:uiPriority w:val="0"/>
    <w:pPr>
      <w:spacing w:line="360" w:lineRule="auto"/>
      <w:ind w:firstLine="480" w:firstLineChars="200"/>
    </w:pPr>
    <w:rPr>
      <w:rFonts w:cs="宋体"/>
      <w:szCs w:val="20"/>
    </w:rPr>
  </w:style>
  <w:style w:type="paragraph" w:customStyle="1" w:styleId="11">
    <w:name w:val="样式 纯文本标题3 + 首行缩进:  2 字符"/>
    <w:basedOn w:val="3"/>
    <w:qFormat/>
    <w:uiPriority w:val="0"/>
    <w:pPr>
      <w:ind w:firstLine="420"/>
    </w:pPr>
    <w:rPr>
      <w:rFonts w:cs="宋体"/>
      <w:b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2017-07-03T23:43:00Z</dcterms:created>
  <dc:creator>Administrator</dc:creator>
  <cp:lastModifiedBy>Administrator</cp:lastModifiedBy>
  <cp:lastPrinted>2017-07-10T12:16:00Z</cp:lastPrinted>
  <dcterms:modified xsi:type="dcterms:W3CDTF">2017-07-11T00:22:01Z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